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7967B4" w14:textId="7D17CE42" w:rsidR="00A922CD" w:rsidRDefault="00A922CD">
      <w:bookmarkStart w:id="0" w:name="_GoBack"/>
      <w:bookmarkEnd w:id="0"/>
      <w:r>
        <w:t>Week four Class one</w:t>
      </w:r>
    </w:p>
    <w:p w14:paraId="1550B95C" w14:textId="4934151B" w:rsidR="00A922CD" w:rsidRDefault="00A922CD">
      <w:r w:rsidRPr="00A922CD">
        <w:rPr>
          <w:highlight w:val="yellow"/>
        </w:rPr>
        <w:t>Assignment one Due June 19</w:t>
      </w:r>
    </w:p>
    <w:p w14:paraId="41245117" w14:textId="77777777" w:rsidR="00A922CD" w:rsidRDefault="00A922CD" w:rsidP="00A922CD">
      <w:pPr>
        <w:pStyle w:val="NormalWeb"/>
        <w:shd w:val="clear" w:color="auto" w:fill="FFFFFF"/>
        <w:spacing w:before="0" w:beforeAutospacing="0" w:after="0" w:afterAutospacing="0"/>
        <w:rPr>
          <w:rFonts w:ascii="Arial" w:hAnsi="Arial"/>
          <w:color w:val="000000"/>
        </w:rPr>
      </w:pPr>
      <w:r>
        <w:rPr>
          <w:rFonts w:ascii="Arial" w:hAnsi="Arial"/>
          <w:b/>
          <w:bCs/>
          <w:color w:val="000000"/>
          <w:sz w:val="27"/>
          <w:szCs w:val="27"/>
          <w:bdr w:val="none" w:sz="0" w:space="0" w:color="auto" w:frame="1"/>
        </w:rPr>
        <w:t>Work Environments, Self-care, and Professional Wellness</w:t>
      </w:r>
      <w:r>
        <w:rPr>
          <w:rFonts w:ascii="Arial" w:hAnsi="Arial"/>
          <w:b/>
          <w:bCs/>
          <w:color w:val="000000"/>
          <w:sz w:val="27"/>
          <w:szCs w:val="27"/>
          <w:bdr w:val="none" w:sz="0" w:space="0" w:color="auto" w:frame="1"/>
        </w:rPr>
        <w:br/>
      </w:r>
      <w:r>
        <w:rPr>
          <w:rFonts w:ascii="Arial" w:hAnsi="Arial"/>
          <w:color w:val="000000"/>
          <w:sz w:val="27"/>
          <w:szCs w:val="27"/>
          <w:bdr w:val="none" w:sz="0" w:space="0" w:color="auto" w:frame="1"/>
        </w:rPr>
        <w:br/>
      </w:r>
      <w:r>
        <w:rPr>
          <w:rFonts w:ascii="inherit" w:hAnsi="inherit"/>
          <w:color w:val="000000"/>
          <w:bdr w:val="none" w:sz="0" w:space="0" w:color="auto" w:frame="1"/>
        </w:rPr>
        <w:t>Work environments can help to mitigate vicarious trauma by cultivating an atmosphere where worker self-care is a priority. Employers can offer workers memberships to fitness centers, access to counselors, debriefing sessions after traumatic incidents, and mandate regular work breaks. These types of opportunities can provide workers with the necessary support they might need when working regularly with trauma survivors or during traumatic events. Workers who engage in self-care activities in their professional and personal lives can increase their overall wellness and effectiveness as a trauma-response helping professional. In contrast, work environments can influence the development of vicarious trauma by ignoring the needs of workers and neglecting self-care. Work environments requiring extended work hours with minimal breaks, or forcing workers to manage extremely large trauma cases can leave their workers vulnerable to vicarious trauma.</w:t>
      </w:r>
    </w:p>
    <w:p w14:paraId="46BE046D" w14:textId="77777777" w:rsidR="00A922CD" w:rsidRPr="00A922CD" w:rsidRDefault="00A922CD" w:rsidP="00A922CD">
      <w:pPr>
        <w:pStyle w:val="NormalWeb"/>
        <w:shd w:val="clear" w:color="auto" w:fill="FFFFFF"/>
        <w:spacing w:before="0" w:beforeAutospacing="0" w:after="0" w:afterAutospacing="0"/>
        <w:rPr>
          <w:rFonts w:ascii="Arial" w:hAnsi="Arial" w:cs="Arial"/>
          <w:color w:val="000000"/>
        </w:rPr>
      </w:pPr>
      <w:r>
        <w:rPr>
          <w:rFonts w:ascii="inherit" w:hAnsi="inherit"/>
          <w:color w:val="000000"/>
          <w:bdr w:val="none" w:sz="0" w:space="0" w:color="auto" w:frame="1"/>
        </w:rPr>
        <w:t>For this Discussion, think back to work environments you have experienced. Choose one organizational practice which promoted self-care and wellness and one practice which inhibited self-care and wellness. Consider the self-care and vicarious trauma implications of each.</w:t>
      </w:r>
      <w:r>
        <w:rPr>
          <w:rFonts w:ascii="Arial" w:hAnsi="Arial"/>
          <w:color w:val="000000"/>
          <w:bdr w:val="none" w:sz="0" w:space="0" w:color="auto" w:frame="1"/>
        </w:rPr>
        <w:br/>
      </w:r>
      <w:r>
        <w:rPr>
          <w:rFonts w:ascii="Arial" w:hAnsi="Arial"/>
          <w:color w:val="000000"/>
          <w:bdr w:val="none" w:sz="0" w:space="0" w:color="auto" w:frame="1"/>
        </w:rPr>
        <w:br/>
      </w:r>
      <w:r w:rsidRPr="00A922CD">
        <w:rPr>
          <w:rFonts w:ascii="inherit" w:hAnsi="inherit" w:cs="Arial"/>
          <w:b/>
          <w:bCs/>
          <w:color w:val="000000"/>
          <w:sz w:val="27"/>
          <w:szCs w:val="27"/>
          <w:bdr w:val="none" w:sz="0" w:space="0" w:color="auto" w:frame="1"/>
        </w:rPr>
        <w:t>Master’s Students</w:t>
      </w:r>
    </w:p>
    <w:p w14:paraId="02BCA2D7" w14:textId="77777777" w:rsidR="00A922CD" w:rsidRPr="00A922CD" w:rsidRDefault="00A922CD" w:rsidP="00A922CD">
      <w:pPr>
        <w:shd w:val="clear" w:color="auto" w:fill="FFFFFF"/>
        <w:spacing w:after="0" w:line="240" w:lineRule="auto"/>
        <w:rPr>
          <w:rFonts w:ascii="Arial" w:eastAsia="Times New Roman" w:hAnsi="Arial" w:cs="Arial"/>
          <w:color w:val="000000"/>
          <w:sz w:val="24"/>
          <w:szCs w:val="24"/>
        </w:rPr>
      </w:pPr>
      <w:r w:rsidRPr="00A922CD">
        <w:rPr>
          <w:rFonts w:ascii="Calibri" w:eastAsia="Times New Roman" w:hAnsi="Calibri" w:cs="Arial"/>
          <w:b/>
          <w:bCs/>
          <w:color w:val="000000"/>
          <w:bdr w:val="none" w:sz="0" w:space="0" w:color="auto" w:frame="1"/>
        </w:rPr>
        <w:t>Post by Day 3 </w:t>
      </w:r>
      <w:r w:rsidRPr="00A922CD">
        <w:rPr>
          <w:rFonts w:ascii="Calibri" w:eastAsia="Times New Roman" w:hAnsi="Calibri" w:cs="Arial"/>
          <w:color w:val="000000"/>
          <w:bdr w:val="none" w:sz="0" w:space="0" w:color="auto" w:frame="1"/>
        </w:rPr>
        <w:t>five ways that you think organizations, for instance counseling centers, could support a healthy work environment. This work environment would be protective against vicarious trauma. Offer specific details about what the work place would do to support employees and how these efforts would be helpful to those employees. How would leaders of the organization know that their efforts were paying off? Identify yourself as a master’s student at the beginning of your post. Identify yourself as a master’s student at the beginning of your post.</w:t>
      </w:r>
    </w:p>
    <w:p w14:paraId="19BFD266" w14:textId="77777777" w:rsidR="00A922CD" w:rsidRPr="00A922CD" w:rsidRDefault="00A922CD" w:rsidP="00A922CD">
      <w:pPr>
        <w:shd w:val="clear" w:color="auto" w:fill="FFFFFF"/>
        <w:spacing w:after="0" w:line="240" w:lineRule="auto"/>
        <w:rPr>
          <w:rFonts w:ascii="Arial" w:eastAsia="Times New Roman" w:hAnsi="Arial" w:cs="Arial"/>
          <w:color w:val="000000"/>
          <w:sz w:val="24"/>
          <w:szCs w:val="24"/>
        </w:rPr>
      </w:pPr>
      <w:r w:rsidRPr="00A922CD">
        <w:rPr>
          <w:rFonts w:ascii="inherit" w:eastAsia="Times New Roman" w:hAnsi="inherit" w:cs="Arial"/>
          <w:color w:val="000000"/>
          <w:sz w:val="24"/>
          <w:szCs w:val="24"/>
          <w:bdr w:val="none" w:sz="0" w:space="0" w:color="auto" w:frame="1"/>
        </w:rPr>
        <w:t>Peer responses should be </w:t>
      </w:r>
      <w:r w:rsidRPr="00A922CD">
        <w:rPr>
          <w:rFonts w:ascii="inherit" w:eastAsia="Times New Roman" w:hAnsi="inherit" w:cs="Arial"/>
          <w:b/>
          <w:bCs/>
          <w:color w:val="000000"/>
          <w:sz w:val="26"/>
          <w:szCs w:val="26"/>
          <w:bdr w:val="none" w:sz="0" w:space="0" w:color="auto" w:frame="1"/>
        </w:rPr>
        <w:t>posted</w:t>
      </w:r>
      <w:r w:rsidRPr="00A922CD">
        <w:rPr>
          <w:rFonts w:ascii="inherit" w:eastAsia="Times New Roman" w:hAnsi="inherit" w:cs="Arial"/>
          <w:color w:val="000000"/>
          <w:sz w:val="24"/>
          <w:szCs w:val="24"/>
          <w:bdr w:val="none" w:sz="0" w:space="0" w:color="auto" w:frame="1"/>
        </w:rPr>
        <w:t> by </w:t>
      </w:r>
      <w:r w:rsidRPr="00A922CD">
        <w:rPr>
          <w:rFonts w:ascii="inherit" w:eastAsia="Times New Roman" w:hAnsi="inherit" w:cs="Arial"/>
          <w:b/>
          <w:bCs/>
          <w:color w:val="000000"/>
          <w:sz w:val="26"/>
          <w:szCs w:val="26"/>
          <w:bdr w:val="none" w:sz="0" w:space="0" w:color="auto" w:frame="1"/>
        </w:rPr>
        <w:t>Day 5</w:t>
      </w:r>
      <w:r w:rsidRPr="00A922CD">
        <w:rPr>
          <w:rFonts w:ascii="inherit" w:eastAsia="Times New Roman" w:hAnsi="inherit" w:cs="Arial"/>
          <w:color w:val="000000"/>
          <w:sz w:val="24"/>
          <w:szCs w:val="24"/>
          <w:bdr w:val="none" w:sz="0" w:space="0" w:color="auto" w:frame="1"/>
        </w:rPr>
        <w:t>. Please respond in the following way:</w:t>
      </w:r>
    </w:p>
    <w:p w14:paraId="6EF740B0"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Calibri" w:eastAsia="Times New Roman" w:hAnsi="Calibri" w:cs="Arial"/>
          <w:color w:val="000000"/>
          <w:bdr w:val="none" w:sz="0" w:space="0" w:color="auto" w:frame="1"/>
        </w:rPr>
        <w:t>Ask a probing question</w:t>
      </w:r>
    </w:p>
    <w:p w14:paraId="1E79822C"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Calibri" w:eastAsia="Times New Roman" w:hAnsi="Calibri" w:cs="Arial"/>
          <w:color w:val="000000"/>
          <w:bdr w:val="none" w:sz="0" w:space="0" w:color="auto" w:frame="1"/>
        </w:rPr>
        <w:t>Share an insight from having read your colleague's posting.</w:t>
      </w:r>
    </w:p>
    <w:p w14:paraId="36838A8E"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inherit" w:eastAsia="Times New Roman" w:hAnsi="inherit" w:cs="Arial"/>
          <w:color w:val="000000"/>
          <w:sz w:val="20"/>
          <w:szCs w:val="20"/>
          <w:bdr w:val="none" w:sz="0" w:space="0" w:color="auto" w:frame="1"/>
        </w:rPr>
        <w:t>Offer and support an opinion.</w:t>
      </w:r>
    </w:p>
    <w:p w14:paraId="6F6748BE"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Calibri" w:eastAsia="Times New Roman" w:hAnsi="Calibri" w:cs="Arial"/>
          <w:color w:val="000000"/>
          <w:bdr w:val="none" w:sz="0" w:space="0" w:color="auto" w:frame="1"/>
        </w:rPr>
        <w:t>Validate an idea with your own experience.</w:t>
      </w:r>
    </w:p>
    <w:p w14:paraId="685E9516"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Calibri" w:eastAsia="Times New Roman" w:hAnsi="Calibri" w:cs="Arial"/>
          <w:color w:val="000000"/>
          <w:bdr w:val="none" w:sz="0" w:space="0" w:color="auto" w:frame="1"/>
        </w:rPr>
        <w:t>Make a suggestion.</w:t>
      </w:r>
    </w:p>
    <w:p w14:paraId="0F8A54C5" w14:textId="77777777" w:rsidR="00A922CD" w:rsidRPr="00A922CD" w:rsidRDefault="00A922CD" w:rsidP="00A922CD">
      <w:pPr>
        <w:numPr>
          <w:ilvl w:val="0"/>
          <w:numId w:val="1"/>
        </w:numPr>
        <w:shd w:val="clear" w:color="auto" w:fill="FFFFFF"/>
        <w:spacing w:after="0" w:line="240" w:lineRule="auto"/>
        <w:ind w:left="0"/>
        <w:rPr>
          <w:rFonts w:ascii="inherit" w:eastAsia="Times New Roman" w:hAnsi="inherit" w:cs="Arial"/>
          <w:color w:val="000000"/>
          <w:sz w:val="20"/>
          <w:szCs w:val="20"/>
        </w:rPr>
      </w:pPr>
      <w:r w:rsidRPr="00A922CD">
        <w:rPr>
          <w:rFonts w:ascii="Calibri" w:eastAsia="Times New Roman" w:hAnsi="Calibri" w:cs="Arial"/>
          <w:color w:val="000000"/>
          <w:bdr w:val="none" w:sz="0" w:space="0" w:color="auto" w:frame="1"/>
        </w:rPr>
        <w:t>Expand on your colleague’s posting.</w:t>
      </w:r>
    </w:p>
    <w:p w14:paraId="2164462C" w14:textId="3C6058A2" w:rsidR="00A922CD" w:rsidRDefault="00A922CD" w:rsidP="00A922CD">
      <w:pPr>
        <w:pStyle w:val="NormalWeb"/>
        <w:shd w:val="clear" w:color="auto" w:fill="FFFFFF"/>
        <w:spacing w:before="0" w:beforeAutospacing="0" w:after="0" w:afterAutospacing="0"/>
        <w:rPr>
          <w:rFonts w:ascii="inherit" w:hAnsi="inherit"/>
          <w:color w:val="000000"/>
          <w:bdr w:val="none" w:sz="0" w:space="0" w:color="auto" w:frame="1"/>
        </w:rPr>
      </w:pPr>
    </w:p>
    <w:p w14:paraId="5DFF6025" w14:textId="77777777" w:rsidR="00A922CD" w:rsidRDefault="00A922CD" w:rsidP="00A922CD">
      <w:pPr>
        <w:pStyle w:val="NormalWeb"/>
        <w:shd w:val="clear" w:color="auto" w:fill="FFFFFF"/>
        <w:spacing w:before="0" w:beforeAutospacing="0" w:after="0" w:afterAutospacing="0"/>
        <w:rPr>
          <w:rFonts w:ascii="inherit" w:hAnsi="inherit"/>
          <w:color w:val="000000"/>
          <w:highlight w:val="yellow"/>
          <w:bdr w:val="none" w:sz="0" w:space="0" w:color="auto" w:frame="1"/>
        </w:rPr>
      </w:pPr>
      <w:r w:rsidRPr="00A922CD">
        <w:rPr>
          <w:rFonts w:ascii="inherit" w:hAnsi="inherit"/>
          <w:color w:val="000000"/>
          <w:highlight w:val="yellow"/>
          <w:bdr w:val="none" w:sz="0" w:space="0" w:color="auto" w:frame="1"/>
        </w:rPr>
        <w:t xml:space="preserve">Assignment two </w:t>
      </w:r>
    </w:p>
    <w:p w14:paraId="240CA27C" w14:textId="77777777" w:rsidR="00A922CD" w:rsidRDefault="00A922CD" w:rsidP="00A922CD">
      <w:pPr>
        <w:pStyle w:val="NormalWeb"/>
        <w:shd w:val="clear" w:color="auto" w:fill="FFFFFF"/>
        <w:spacing w:before="0" w:beforeAutospacing="0" w:after="0" w:afterAutospacing="0"/>
        <w:rPr>
          <w:rFonts w:ascii="inherit" w:hAnsi="inherit"/>
          <w:color w:val="000000"/>
          <w:highlight w:val="yellow"/>
          <w:bdr w:val="none" w:sz="0" w:space="0" w:color="auto" w:frame="1"/>
        </w:rPr>
      </w:pPr>
    </w:p>
    <w:p w14:paraId="659FA057" w14:textId="3A99E12D" w:rsidR="00A922CD" w:rsidRDefault="00A922CD" w:rsidP="00A922CD">
      <w:pPr>
        <w:pStyle w:val="NormalWeb"/>
        <w:shd w:val="clear" w:color="auto" w:fill="FFFFFF"/>
        <w:spacing w:before="0" w:beforeAutospacing="0" w:after="0" w:afterAutospacing="0"/>
        <w:rPr>
          <w:rFonts w:ascii="inherit" w:hAnsi="inherit"/>
          <w:color w:val="000000"/>
          <w:bdr w:val="none" w:sz="0" w:space="0" w:color="auto" w:frame="1"/>
        </w:rPr>
      </w:pPr>
      <w:r>
        <w:rPr>
          <w:rFonts w:ascii="inherit" w:hAnsi="inherit"/>
          <w:color w:val="000000"/>
          <w:highlight w:val="yellow"/>
          <w:bdr w:val="none" w:sz="0" w:space="0" w:color="auto" w:frame="1"/>
        </w:rPr>
        <w:t xml:space="preserve">Due </w:t>
      </w:r>
      <w:r w:rsidRPr="00A922CD">
        <w:rPr>
          <w:rFonts w:ascii="inherit" w:hAnsi="inherit"/>
          <w:color w:val="000000"/>
          <w:highlight w:val="yellow"/>
          <w:bdr w:val="none" w:sz="0" w:space="0" w:color="auto" w:frame="1"/>
        </w:rPr>
        <w:t>June 23</w:t>
      </w:r>
    </w:p>
    <w:p w14:paraId="52665326" w14:textId="77777777" w:rsidR="00A922CD" w:rsidRDefault="00A922CD" w:rsidP="00A922CD">
      <w:pPr>
        <w:pStyle w:val="NormalWeb"/>
        <w:shd w:val="clear" w:color="auto" w:fill="FFFFFF"/>
        <w:spacing w:before="0" w:beforeAutospacing="0" w:after="0" w:afterAutospacing="0"/>
        <w:rPr>
          <w:rFonts w:ascii="inherit" w:hAnsi="inherit"/>
          <w:color w:val="000000"/>
          <w:bdr w:val="none" w:sz="0" w:space="0" w:color="auto" w:frame="1"/>
        </w:rPr>
      </w:pPr>
    </w:p>
    <w:p w14:paraId="5881D05A" w14:textId="77777777" w:rsidR="00A922CD" w:rsidRPr="00A922CD" w:rsidRDefault="00A922CD" w:rsidP="00A922CD">
      <w:pPr>
        <w:shd w:val="clear" w:color="auto" w:fill="FAFAFA"/>
        <w:spacing w:after="0" w:line="240" w:lineRule="auto"/>
        <w:rPr>
          <w:rFonts w:ascii="Arial" w:eastAsia="Times New Roman" w:hAnsi="Arial" w:cs="Arial"/>
          <w:color w:val="000000"/>
          <w:sz w:val="24"/>
          <w:szCs w:val="24"/>
        </w:rPr>
      </w:pPr>
      <w:r w:rsidRPr="00A922CD">
        <w:rPr>
          <w:rFonts w:ascii="Arial" w:eastAsia="Times New Roman" w:hAnsi="Arial" w:cs="Arial"/>
          <w:b/>
          <w:bCs/>
          <w:color w:val="000000"/>
          <w:sz w:val="27"/>
          <w:szCs w:val="27"/>
          <w:bdr w:val="none" w:sz="0" w:space="0" w:color="auto" w:frame="1"/>
        </w:rPr>
        <w:t>Application: Best Practices</w:t>
      </w:r>
    </w:p>
    <w:p w14:paraId="0723009D" w14:textId="77777777" w:rsidR="00A922CD" w:rsidRPr="00A922CD" w:rsidRDefault="00A922CD" w:rsidP="00A922CD">
      <w:pPr>
        <w:shd w:val="clear" w:color="auto" w:fill="FAFAFA"/>
        <w:spacing w:after="0" w:line="240" w:lineRule="auto"/>
        <w:rPr>
          <w:rFonts w:ascii="Arial" w:eastAsia="Times New Roman" w:hAnsi="Arial" w:cs="Arial"/>
          <w:color w:val="000000"/>
          <w:sz w:val="24"/>
          <w:szCs w:val="24"/>
        </w:rPr>
      </w:pPr>
      <w:r w:rsidRPr="00A922CD">
        <w:rPr>
          <w:rFonts w:ascii="Arial" w:eastAsia="Times New Roman" w:hAnsi="Arial" w:cs="Arial"/>
          <w:color w:val="000000"/>
          <w:sz w:val="24"/>
          <w:szCs w:val="24"/>
          <w:bdr w:val="none" w:sz="0" w:space="0" w:color="auto" w:frame="1"/>
        </w:rPr>
        <w:t xml:space="preserve">Elevating your insight and awareness related to self-care and wellness is important since healthier trauma-response helping professionals will ultimately be happier and provide better service provision to clients, supervisees, students, and communities. Now that you have explored work practices that inhibit or promote self-care and wellness in </w:t>
      </w:r>
      <w:r w:rsidRPr="00A922CD">
        <w:rPr>
          <w:rFonts w:ascii="Arial" w:eastAsia="Times New Roman" w:hAnsi="Arial" w:cs="Arial"/>
          <w:color w:val="000000"/>
          <w:sz w:val="24"/>
          <w:szCs w:val="24"/>
          <w:bdr w:val="none" w:sz="0" w:space="0" w:color="auto" w:frame="1"/>
        </w:rPr>
        <w:lastRenderedPageBreak/>
        <w:t>this week's Discussion, it is now time to delve deeper and study best practices in this area. As a future counselor, counselor educator, and supervisor, knowledge of these best practices will help you lead programs and supervise students in a way that minimizes environmental contributions to vicarious trauma.</w:t>
      </w:r>
    </w:p>
    <w:p w14:paraId="64DB3A6F" w14:textId="77777777" w:rsidR="00A922CD" w:rsidRPr="00A922CD" w:rsidRDefault="00A922CD" w:rsidP="00A922CD">
      <w:pPr>
        <w:shd w:val="clear" w:color="auto" w:fill="FAFAFA"/>
        <w:spacing w:after="0" w:line="240" w:lineRule="auto"/>
        <w:rPr>
          <w:rFonts w:ascii="Arial" w:eastAsia="Times New Roman" w:hAnsi="Arial" w:cs="Arial"/>
          <w:color w:val="000000"/>
          <w:sz w:val="24"/>
          <w:szCs w:val="24"/>
        </w:rPr>
      </w:pPr>
      <w:r w:rsidRPr="00A922CD">
        <w:rPr>
          <w:rFonts w:ascii="Arial" w:eastAsia="Times New Roman" w:hAnsi="Arial" w:cs="Arial"/>
          <w:color w:val="000000"/>
          <w:sz w:val="24"/>
          <w:szCs w:val="24"/>
          <w:bdr w:val="none" w:sz="0" w:space="0" w:color="auto" w:frame="1"/>
        </w:rPr>
        <w:t>For this Application Assignment, select an interview from the media carousel in this week's Learning Resources and consider best practices for promoting professional wellness for that work setting. (agency, police or fire station, school, etc.) Think of how each practice might be applied and the potential benefits for trauma-response helping professionals to promote self-care and wellness. Select one or more work-setting specific articles from this week's Learning Resources to inform your answer.</w:t>
      </w:r>
    </w:p>
    <w:p w14:paraId="66591D41" w14:textId="77777777" w:rsidR="00A922CD" w:rsidRDefault="00A922CD" w:rsidP="00A922CD">
      <w:pPr>
        <w:shd w:val="clear" w:color="auto" w:fill="FAFAFA"/>
        <w:spacing w:after="0" w:line="240" w:lineRule="auto"/>
        <w:rPr>
          <w:rFonts w:ascii="Arial" w:eastAsia="Times New Roman" w:hAnsi="Arial" w:cs="Arial"/>
          <w:b/>
          <w:bCs/>
          <w:color w:val="000000"/>
          <w:sz w:val="24"/>
          <w:szCs w:val="24"/>
          <w:bdr w:val="none" w:sz="0" w:space="0" w:color="auto" w:frame="1"/>
        </w:rPr>
      </w:pPr>
    </w:p>
    <w:p w14:paraId="495DA564" w14:textId="14FA6DF5" w:rsidR="00A922CD" w:rsidRPr="00A922CD" w:rsidRDefault="00A922CD" w:rsidP="00A922CD">
      <w:pPr>
        <w:shd w:val="clear" w:color="auto" w:fill="FAFAFA"/>
        <w:spacing w:after="0" w:line="240" w:lineRule="auto"/>
        <w:rPr>
          <w:rFonts w:ascii="Arial" w:eastAsia="Times New Roman" w:hAnsi="Arial" w:cs="Arial"/>
          <w:color w:val="000000"/>
          <w:sz w:val="24"/>
          <w:szCs w:val="24"/>
        </w:rPr>
      </w:pPr>
      <w:r w:rsidRPr="00A922CD">
        <w:rPr>
          <w:rFonts w:ascii="Arial" w:eastAsia="Times New Roman" w:hAnsi="Arial" w:cs="Arial"/>
          <w:b/>
          <w:bCs/>
          <w:color w:val="000000"/>
          <w:sz w:val="24"/>
          <w:szCs w:val="24"/>
          <w:bdr w:val="none" w:sz="0" w:space="0" w:color="auto" w:frame="1"/>
        </w:rPr>
        <w:t>The assignment: (2–3 pages)</w:t>
      </w:r>
    </w:p>
    <w:p w14:paraId="289ECAD7" w14:textId="77777777" w:rsidR="00A922CD" w:rsidRPr="00A922CD" w:rsidRDefault="00A922CD" w:rsidP="00A922CD">
      <w:pPr>
        <w:shd w:val="clear" w:color="auto" w:fill="FAFAFA"/>
        <w:spacing w:after="0" w:line="240" w:lineRule="auto"/>
        <w:rPr>
          <w:rFonts w:ascii="Arial" w:eastAsia="Times New Roman" w:hAnsi="Arial" w:cs="Arial"/>
          <w:color w:val="000000"/>
          <w:sz w:val="24"/>
          <w:szCs w:val="24"/>
        </w:rPr>
      </w:pPr>
      <w:r w:rsidRPr="00A922CD">
        <w:rPr>
          <w:rFonts w:ascii="Arial" w:eastAsia="Times New Roman" w:hAnsi="Arial" w:cs="Arial"/>
          <w:b/>
          <w:bCs/>
          <w:color w:val="000000"/>
          <w:sz w:val="24"/>
          <w:szCs w:val="24"/>
          <w:bdr w:val="none" w:sz="0" w:space="0" w:color="auto" w:frame="1"/>
        </w:rPr>
        <w:t>Use the Media Carousel "Trauma-Response Helping Professionals" to select an interview. Please select a different interview from the previous week.</w:t>
      </w:r>
      <w:r w:rsidRPr="00A922CD">
        <w:rPr>
          <w:rFonts w:ascii="Arial" w:eastAsia="Times New Roman" w:hAnsi="Arial" w:cs="Arial"/>
          <w:b/>
          <w:bCs/>
          <w:color w:val="000000"/>
          <w:sz w:val="24"/>
          <w:szCs w:val="24"/>
          <w:bdr w:val="none" w:sz="0" w:space="0" w:color="auto" w:frame="1"/>
        </w:rPr>
        <w:br/>
      </w:r>
    </w:p>
    <w:p w14:paraId="6ED867F4" w14:textId="77777777" w:rsidR="00A922CD" w:rsidRPr="00A922CD" w:rsidRDefault="00A922CD" w:rsidP="00A922CD">
      <w:pPr>
        <w:numPr>
          <w:ilvl w:val="0"/>
          <w:numId w:val="2"/>
        </w:numPr>
        <w:shd w:val="clear" w:color="auto" w:fill="FAFAFA"/>
        <w:spacing w:after="0" w:line="240" w:lineRule="auto"/>
        <w:ind w:left="0"/>
        <w:rPr>
          <w:rFonts w:ascii="inherit" w:eastAsia="Times New Roman" w:hAnsi="inherit" w:cs="Arial"/>
          <w:color w:val="000000"/>
          <w:sz w:val="20"/>
          <w:szCs w:val="20"/>
        </w:rPr>
      </w:pPr>
      <w:r w:rsidRPr="00A922CD">
        <w:rPr>
          <w:rFonts w:ascii="Arial" w:eastAsia="Times New Roman" w:hAnsi="Arial" w:cs="Arial"/>
          <w:color w:val="000000"/>
          <w:sz w:val="24"/>
          <w:szCs w:val="24"/>
          <w:bdr w:val="none" w:sz="0" w:space="0" w:color="auto" w:frame="1"/>
        </w:rPr>
        <w:t>Briefly describe the work setting in the interview you selected.</w:t>
      </w:r>
    </w:p>
    <w:p w14:paraId="7F18F146" w14:textId="77777777" w:rsidR="00A922CD" w:rsidRPr="00A922CD" w:rsidRDefault="00A922CD" w:rsidP="00A922CD">
      <w:pPr>
        <w:numPr>
          <w:ilvl w:val="0"/>
          <w:numId w:val="2"/>
        </w:numPr>
        <w:shd w:val="clear" w:color="auto" w:fill="FAFAFA"/>
        <w:spacing w:after="0" w:line="240" w:lineRule="auto"/>
        <w:ind w:left="0"/>
        <w:rPr>
          <w:rFonts w:ascii="inherit" w:eastAsia="Times New Roman" w:hAnsi="inherit" w:cs="Arial"/>
          <w:color w:val="000000"/>
          <w:sz w:val="20"/>
          <w:szCs w:val="20"/>
        </w:rPr>
      </w:pPr>
      <w:r w:rsidRPr="00A922CD">
        <w:rPr>
          <w:rFonts w:ascii="Arial" w:eastAsia="Times New Roman" w:hAnsi="Arial" w:cs="Arial"/>
          <w:color w:val="000000"/>
          <w:sz w:val="24"/>
          <w:szCs w:val="24"/>
          <w:bdr w:val="none" w:sz="0" w:space="0" w:color="auto" w:frame="1"/>
        </w:rPr>
        <w:t>Identify at least 3 stressors related to this work environment.</w:t>
      </w:r>
    </w:p>
    <w:p w14:paraId="7AED1186" w14:textId="77777777" w:rsidR="00A922CD" w:rsidRPr="00A922CD" w:rsidRDefault="00A922CD" w:rsidP="00A922CD">
      <w:pPr>
        <w:numPr>
          <w:ilvl w:val="0"/>
          <w:numId w:val="2"/>
        </w:numPr>
        <w:shd w:val="clear" w:color="auto" w:fill="FAFAFA"/>
        <w:spacing w:after="0" w:line="240" w:lineRule="auto"/>
        <w:ind w:left="0"/>
        <w:rPr>
          <w:rFonts w:ascii="inherit" w:eastAsia="Times New Roman" w:hAnsi="inherit" w:cs="Arial"/>
          <w:color w:val="000000"/>
          <w:sz w:val="20"/>
          <w:szCs w:val="20"/>
        </w:rPr>
      </w:pPr>
      <w:r w:rsidRPr="00A922CD">
        <w:rPr>
          <w:rFonts w:ascii="Arial" w:eastAsia="Times New Roman" w:hAnsi="Arial" w:cs="Arial"/>
          <w:color w:val="000000"/>
          <w:sz w:val="24"/>
          <w:szCs w:val="24"/>
          <w:bdr w:val="none" w:sz="0" w:space="0" w:color="auto" w:frame="1"/>
        </w:rPr>
        <w:t>Explain three best practices for the work setting you chose to promote personal and professional wellness.</w:t>
      </w:r>
    </w:p>
    <w:p w14:paraId="73C62EB3" w14:textId="77777777" w:rsidR="00A922CD" w:rsidRPr="00A922CD" w:rsidRDefault="00A922CD" w:rsidP="00A922CD">
      <w:pPr>
        <w:numPr>
          <w:ilvl w:val="0"/>
          <w:numId w:val="2"/>
        </w:numPr>
        <w:shd w:val="clear" w:color="auto" w:fill="FAFAFA"/>
        <w:spacing w:after="0" w:line="240" w:lineRule="auto"/>
        <w:ind w:left="0"/>
        <w:rPr>
          <w:rFonts w:ascii="inherit" w:eastAsia="Times New Roman" w:hAnsi="inherit" w:cs="Arial"/>
          <w:color w:val="000000"/>
          <w:sz w:val="20"/>
          <w:szCs w:val="20"/>
        </w:rPr>
      </w:pPr>
      <w:r w:rsidRPr="00A922CD">
        <w:rPr>
          <w:rFonts w:ascii="Arial" w:eastAsia="Times New Roman" w:hAnsi="Arial" w:cs="Arial"/>
          <w:color w:val="000000"/>
          <w:sz w:val="24"/>
          <w:szCs w:val="24"/>
          <w:bdr w:val="none" w:sz="0" w:space="0" w:color="auto" w:frame="1"/>
        </w:rPr>
        <w:t>Justify your response by providing evidence-based research from current literature for the inclusion of this sort of environmental practice. Be specific.</w:t>
      </w:r>
    </w:p>
    <w:p w14:paraId="404D9CB0" w14:textId="37D71C52" w:rsidR="00A922CD" w:rsidRDefault="00A922CD" w:rsidP="00A922CD">
      <w:pPr>
        <w:pStyle w:val="NormalWeb"/>
        <w:shd w:val="clear" w:color="auto" w:fill="FFFFFF"/>
        <w:spacing w:before="0" w:beforeAutospacing="0" w:after="0" w:afterAutospacing="0"/>
        <w:rPr>
          <w:rFonts w:ascii="Arial" w:hAnsi="Arial"/>
          <w:color w:val="000000"/>
        </w:rPr>
      </w:pPr>
      <w:r>
        <w:rPr>
          <w:rFonts w:ascii="Arial" w:hAnsi="Arial"/>
          <w:color w:val="000000"/>
          <w:bdr w:val="none" w:sz="0" w:space="0" w:color="auto" w:frame="1"/>
        </w:rPr>
        <w:br/>
      </w:r>
    </w:p>
    <w:p w14:paraId="6B8C3030" w14:textId="77777777" w:rsidR="00A922CD" w:rsidRDefault="00A922CD"/>
    <w:sectPr w:rsidR="00A92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E21C26"/>
    <w:multiLevelType w:val="multilevel"/>
    <w:tmpl w:val="3432E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700B4"/>
    <w:multiLevelType w:val="multilevel"/>
    <w:tmpl w:val="40EC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CD"/>
    <w:rsid w:val="004F560F"/>
    <w:rsid w:val="00A92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1C55"/>
  <w15:chartTrackingRefBased/>
  <w15:docId w15:val="{570E5F43-6C93-4864-8CB0-D76D97D1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22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92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338327">
      <w:bodyDiv w:val="1"/>
      <w:marLeft w:val="0"/>
      <w:marRight w:val="0"/>
      <w:marTop w:val="0"/>
      <w:marBottom w:val="0"/>
      <w:divBdr>
        <w:top w:val="none" w:sz="0" w:space="0" w:color="auto"/>
        <w:left w:val="none" w:sz="0" w:space="0" w:color="auto"/>
        <w:bottom w:val="none" w:sz="0" w:space="0" w:color="auto"/>
        <w:right w:val="none" w:sz="0" w:space="0" w:color="auto"/>
      </w:divBdr>
    </w:div>
    <w:div w:id="1290894562">
      <w:bodyDiv w:val="1"/>
      <w:marLeft w:val="0"/>
      <w:marRight w:val="0"/>
      <w:marTop w:val="0"/>
      <w:marBottom w:val="0"/>
      <w:divBdr>
        <w:top w:val="none" w:sz="0" w:space="0" w:color="auto"/>
        <w:left w:val="none" w:sz="0" w:space="0" w:color="auto"/>
        <w:bottom w:val="none" w:sz="0" w:space="0" w:color="auto"/>
        <w:right w:val="none" w:sz="0" w:space="0" w:color="auto"/>
      </w:divBdr>
    </w:div>
    <w:div w:id="157188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2</cp:revision>
  <dcterms:created xsi:type="dcterms:W3CDTF">2019-06-06T02:33:00Z</dcterms:created>
  <dcterms:modified xsi:type="dcterms:W3CDTF">2019-06-06T02:33:00Z</dcterms:modified>
</cp:coreProperties>
</file>